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2007/444 vom 24. Juni 2009</w:t>
      </w:r>
    </w:p>
    <w:p>
      <w:r>
        <w:t>Sg Versicherungsgericht, 2009-06-24, DE</w:t>
      </w:r>
    </w:p>
    <w:p>
      <w:r>
        <w:rPr>
          <w:b/>
        </w:rPr>
        <w:t xml:space="preserve">Quelle: </w:t>
      </w:r>
      <w:r>
        <w:t>https://mcp.opencaselaw.ch/entscheid/sg_publikationen_IV 2007_444</w:t>
      </w:r>
    </w:p>
    <w:p>
      <w:r>
        <w:t>FR: SG_VERSICHERUNGSGERICHT IV 2007/444 du 24 juin 2009</w:t>
      </w:r>
    </w:p>
    <w:p>
      <w:r>
        <w:t>IT: SG_VERSICHERUNGSGERICHT IV 2007/444 del 24 giugno 2009</w:t>
      </w:r>
    </w:p>
    <w:p>
      <w:pPr>
        <w:pStyle w:val="Heading2"/>
      </w:pPr>
      <w:r>
        <w:t>Regeste</w:t>
      </w:r>
    </w:p>
    <w:p>
      <w:r>
        <w:t>Art. 28 IVG, Art. 16 und 47 ATSG. Würdigung eines Gutachtens und von Arztberichten. Ermittlung des Invaliditätsgrads anhand eines Einkommensvergleichs. Die Verwaltung ist grundsätzlich nicht verpflichtet, die Akten von Amtes wegen zur Einsicht vorzulegen; Verletzung des rechtlichen Gehörs verneint (Entscheid des Versicherungsgerichts des Kantons St. Gallen vom 24. Juni 2009, IV 2007/444).</w:t>
      </w:r>
    </w:p>
    <w:p>
      <w:pPr>
        <w:pStyle w:val="Heading2"/>
      </w:pPr>
      <w:r>
        <w:t>Erwägungen</w:t>
      </w:r>
    </w:p>
    <w:p>
      <w:r>
        <w:rPr>
          <w:b/>
        </w:rPr>
        <w:t>E. 1</w:t>
      </w:r>
    </w:p>
    <w:p>
      <w:r>
        <w:t>1.1  Der Beschwerdeführer rügt vorab eine Verletzung des rechtlichen Gehörs, da ihm keine Akteneinsicht gewährt bzw. er nicht auf die Möglichkeit der Einsichtnahme in die Akten aufmerksam gemacht wurde. 1.2  Das Akteneinsichtsrecht wird in Art. 47 des Allgemeinen Teils des Sozialversicherungsrechts (ATSG; SR 830.1) geregelt. Nach Art. 47 Abs. 1 lit. b ATSG steht die Akteneinsicht, sofern überwiegende Privatinteressen gewahrt bleiben, den Parteien für die Daten zu, die sie benötigen, um einen Anspruch oder eine Verpflichtung nach einem Sozialversicherungsgesetz zu wahren oder zu erfüllen oder um ein Rechtsmittel gegen eine auf Grund desselben Gesetzes erlassene Verfügung geltend zu machen. Daraus folgt, dass die versicherte Person grundsätzlich in jedem Fall in die sie betreffenden Akten Einsicht nehmen darf. Das Verfahren der Akteneinsicht wird in Art. 8 f. der Verordnung über den Allgemeinen Teil des Sozialversicherungsrechts (ATSV, SR 830.11) geregelt. Das Recht auf Akteneinsicht ist wie das Recht, angehört zu werden, formeller Natur. Die Verletzung des Rechts auf Akteneinsicht führt deshalb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(BGE 115 V 305 E. 2h). 1.3  Eine Behörde ist im Allgemeinen aufgrund der Verfassung nicht verpflichtet, die Akten von Amtes wegen zur Einsicht vorzulegen. Primär ist es Sache der am Verfahren beteiligten Parteien, die Akteneinsicht zu beantragen. Wird dies unterlassen, können sie sich hinterher nicht über eine Gehörsverletzung beklagen; insofern verwirken sie ihren Anspruch auf Akteneinsicht. Anders ist hingegen die Situation, wenn die Behörde von sich aus und ohne Wissen der Parteien eine Ergänzung des Dossiers vornimmt. Wenn die Behörde ihren Entscheid auf ein neu erhobenes Beweisergebnis zu stützen gedenkt, ist sie grundsätzlich dazu verpflichtet, die Betroffenen zur Einsicht einzuladen und ihnen eine Frist zur Würdigung des Beweisergebnisses einzuräumen; die blosse Orientierung über die vorgenommene Aktenergänzung kann ungenügend sein (Michele Albertini, Der verfassungsmässige Anspruch auf rechtliches Gehör im Verwaltungsverfahren des modernen Staates, Diss. Bern 1999, S. 248). 1.4  Vorliegend hat die Beschwerdegegnerin das Dossier nicht ohne Wissen des Beschwerdeführers ergänzt; sie stützt die angefochtene Verfügung in erster Linie auf das Gutachten von Dr. B.___. Den Akten ist zudem nicht zu entnehmen, dass der Beschwerdeführer bzw. sein Vertreter bei der Beschwerdegegnerin je um Akteneinsicht ersucht hätten; dies wird denn auch gar nicht geltend gemacht. Unter diesen Umständen liegt nach dem Gesagten keine Verletzung des rechtlichen Gehörs vor.</w:t>
      </w:r>
    </w:p>
    <w:p>
      <w:r>
        <w:rPr>
          <w:b/>
        </w:rPr>
        <w:t>E. 2</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anwendbar.</w:t>
      </w:r>
    </w:p>
    <w:p>
      <w:r>
        <w:rPr>
          <w:b/>
        </w:rPr>
        <w:t>E. 3</w:t>
      </w:r>
    </w:p>
    <w:p>
      <w:r>
        <w:t>3.1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1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3.2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4</w:t>
      </w:r>
    </w:p>
    <w:p>
      <w:r>
        <w:t>4.1  Die Beschwerdegegnerin stützt die angefochtene Verfügung in erster Linie auf das Gutachten von Dr. B.___ vom 18. Juli/22. August 2007 (act. G 4.1.57). 4.2  Dieses Gutachten beruht auf fachärztlichen Untersuchungen und ist für die streitigen Belange umfassend. Es wurden die Vorakten verwertet und die vom Beschwerdeführer geklagten Beschwerden berücksichtigt. Das Gutachten leuchtet in der Darlegung der medizinischen Zusammenhänge und in der Beurteilung der medizinischen Situation ein. Vor diesem Hintergrund vermögen auch die darin enthaltenen Schlussfolgerungen, namentlich die Beurteilung der Arbeitsfähigkeit in einer adaptierten Tätigkeit - entgegen der Auffassung des Beschwerdeführers - zu überzeugen. Das Gutachten erfüllt mithin alle praxisgemässen Kriterien für beweiskräftige Gutachten (vgl. BGE 125 V 352 E. 3a), so dass grundsätzlich darauf abzustellen ist. Zudem wurde dem Beschwerdeführer - entgegen seiner Bestreitung - vorgängig mitgeteilt, dass die Begutachtung durch Dr. B.___ durchgeführt werden würde (act. G 4.1.54). 4.2.1 Vorab ist festzuhalten, dass für die Bemessung des Invaliditätsgrads vorliegend auf die Arbeitsfähigkeit in einer adaptierten und nicht in der angestammten Tätigkeit abzustellen ist. Dies deshalb, weil der Beschwerdeführer in seiner angestammten Tätigkeit als Getränkechauffeur unbestrittenermassen seit mehr als sechs Monaten dauernd zu 50% eingeschränkt ist. Zudem ist es ihm, der bezüglich seiner Tätigkeit als Getränkechauffeur keine Ausbildung absolviert hat, grundsätzlich zumutbar, eine adaptierte Hilfsarbeit aufzunehmen. Da auf die Arbeitsfähigkeit in einer adaptierten Tätigkeit abzustellen ist, ist der Hinweis des Beschwerdeführers auf die von Dr. A.___ attestierte 100%ige Arbeitsunfähigkeit ab 15. September 2006 unbehelflich, bezieht sich diese doch auf die angestammte Tätigkeit bzw. auf Lagerarbeiten. Die Zumutbarkeit einer adaptierten Tätigkeit wird demgegenüber mit dem Hinweis verneint, der Beschwerdeführer sage, er sei kein "Bürolist". Zudem führte Dr. A.___ in seinem Bericht vom 30. Januar 2007 aus, er sehe die zumutbare Arbeitsfähigkeit des Beschwerdeführers auch in einer adaptierten Tätigkeit nicht mehr als realistisch. Er glaube nicht mehr an eine Arbeitsfähigkeit des Beschwerdeführers. Eine adaptierte Tätigkeit zu finden, werde für ihn insbesondere auf dem Arbeitsmarkt schwierig sein; er glaube höchstens, dass er eventuell noch sitzen und Couverts falten könne. Diese Arbeitsfähigkeit sei aber realistischerweise nicht mehr gefragt. Vielleicht könne er seiner Frau im Restaurant mithelfen, die Gäste zu unterhalten. Als Aushilfschauffeur komme der Beschwerdeführer nicht mehr in Frage (act. G 4.1.51-3 f.). Diese Beurteilung der Arbeitsfähigkeit in einer adaptierten Tätigkeit vermag nicht zu überzeugen, beruht sie doch zur Hauptsache auf den Angaben des Beschwerdeführers. Zudem verkennt Dr. A.___ - genauso wie der Beschwerdeführer -, dass für die Frage der Verwertbarkeit der Restarbeitsfähigkeit auf den ausgeglichenen Arbeitsmarkt abzustellen ist. Der Begriff des ausgeglichenen Arbeitsmarkts umschliesst einerseits ein bestimmtes Gleichgewicht zwischen dem Angebot und der Nachfrage nach Stellen; andererseits bezeichnet er einen Arbeitsmarkt, der von seiner Struktur her einen Fächer verschiedenster Tätigkeiten aufweist, und zwar sowohl bezüglich der dafür verlangten beruflichen und intellektuellen Voraussetzungen als auch hinsichtlich des körperlichen Einsatzes. Letzteres gilt auch im Bereich der un- und angelernten Arbeitnehmer (ZAK 1991, S. 321). Daraus folgt, dass für die Invaliditätsbemessung nicht darauf abzustellen ist, ob ein Invalider unter den konkreten Arbeitsverhältnissen vermittelt werden kann, sondern einzig darauf, ob er die ihm verbliebene Arbeitskraft noch wirtschaftlich nutzen könnte, wenn die verfügbaren Arbeitsplätze dem Angebot an Arbeitskräften entsprechen würden (AHI 1998 S. 291). Es kann nicht davon ausgegangen werden, sämtliche Hilfsarbeiten seien körperlich streng. Vielmehr ist davon auszugehen, dass auf dem beschriebenen ausgeglichenen Arbeitsmarkt auch körperlich leichtere Tätigkeiten existieren, wie etwa Überwachungs- und Kontrolltätigkeiten. Derartige Tätigkeiten sind durchaus mit den im Gutachten gestellten Anforderungen an eine adaptierte Tätigkeit vereinbar. 4.2.2 Der Beschwerdeführer verweist zudem auf einen vertrauensärztlichen Bericht vom 13. September 2007, auf den sich die Öffentliche Krankenkasse (ÖKK) in ihrem Schreiben vom 21. September 2007 beruft (vgl. act. G 1.3). Dieser Bericht befindet sich nicht bei den Akten und ist offenbar auch nicht im Besitz des Beschwerdeführers. Es kann vorliegend jedoch darauf verzichtet werden, diesen Bericht einzuholen, geht doch aus dem betreffenden Schreiben der ÖKK hervor, dass dem Beschwerdeführer durch den Vertrauensarzt eine 100%ige Arbeitsfähigkeit in einer adaptierten Tätigkeit (leichte bis mittelschwere Arbeiten) attestiert wurde, weshalb der Beschwerdeführer daraus nichts zu seinen Gunsten ableiten kann. 4.2.3 Schliesslich weist der Beschwerdeführer darauf hin, dass die Concordia Krankenkasse (Concordia) von einer 50%igen Arbeitsunfähigkeit des Beschwerdeführers ausgehe. Auch dieser Hinweis ist unbehelflich, stützte sich die Concordia doch in erster Linie auf die Beurteilung von Dr. A.___ (vgl. act. G 1.5). Zwar wird im Schreiben der Concordia vom 1. Dezember 2006 an den Beschwerdeführer eine Überprüfung der Arbeitsfähigkeit durch den Vertrauensarzt erwähnt, doch ging es dabei offenbar nicht um eine umfassende Abklärung, sondern um die Beurteilung der von Dr. A.___ als zumutbar bezeichneten 50%igen Tätigkeit für leichtere Arbeiten beim bisherigen Arbeitgeber des Beschwerdeführers (vgl. act. G 1.8). Entsprechend erübrigt sich auch der Beizug dieser vertrauensärztlichen Beurteilung. 4.3  Nach dem Gesagten kann vorliegend auf das Gutachten von Dr. B.___ vom 18. Juli/22. August 2007 abgestellt werden. Demnach sind dem Beschwerdeführer körperlich leichte Tätigkeiten in temperierten Räumen, die abwechslungsweise sitzend und stehend ausgeübt werden können, ohne dass dabei regelmässig unphysiologische speziell rotierte oder inklinierte und reklinierte Körperhaltungen eingenommen und Gegenstände über 10 kg gehoben oder getragen werden müssen, bei voller Stundenpräsenz zu ca. 90% zumutbar (act. G 4.1.57-7).</w:t>
      </w:r>
    </w:p>
    <w:p>
      <w:r>
        <w:rPr>
          <w:b/>
        </w:rPr>
        <w:t>E. 5</w:t>
      </w:r>
    </w:p>
    <w:p>
      <w:r>
        <w:t>5.1  Zu prüfen bleibt damit der Einkommensvergleich. Während der angefochtenen Verfügung ein Valideneinkommen von Fr. 67'305.-- zugrunde liegt, macht die Beschwerdegegnerin im Rahmen der Beschwerdeantwort geltend, dieses Valideneinkommen sei zu hoch. Bei dem so ermittelten Valideneinkommen handle es sich um den zuletzt (2007) bezahlten Lohn von 75%, der auf 100% aufgerechnet worden sei. Dies erscheine problematisch, da eine Soziallohnkomponente wahrscheinlich sei. Der Beschwerdeführer hält das in der angefochtenen Verfügung ermittelte Valideneinkommen demgegenüber für korrekt. 5.2  Bei der Ermittlung des Valideneinkommens ist entscheidend, was die versicherte Person im massgebenden Zeitpunkt nach dem Beweisgrad der überwiegenden Wahrscheinlichkeit als Gesunde tatsächlich verdienen würde. Die Einkommensermittlung hat so konkret wie möglich zu erfolgen. Es ist in der Regel vom letzten Lohn, welchen die versicherte Person vor Eintritt der Gesundheitsschädigung erzielt hat, auszugehen (Urteil des Bundesgerichts vom 16. Mai 2001, I 42/01, mit Hinweisen). Diese Praxis wird mit der empirischen Feststellung begründet, dass die bisherige Tätigkeit im Gesundheitsfall in der Regel weitergeführt worden wäre (Urteil des Bundesgerichts vom 29. August 2002, I 97/00). 5.3  Vorliegend gibt es in den Akten keinerlei Anzeichen dafür, dass es sich bei dem dem Beschwerdeführer zuletzt bezahlten Lohn um einen Soziallohn handelt. Vielmehr hat die Arbeitgeberin stets erklärt, dass der ausgerichtete Lohn der Arbeitsleistung des Beschwerdeführers entspreche (vgl. act. G 4.1.45, 4.1.50). Damit korrespondiert auch die Angabe gegenüber der SUVA im Februar 2004. Danach hätte der Beschwerdeführer ohne die Unfallfolgen als Chauffeur und Lagermitarbeiter aufgrund seines Alters und seiner Berufserfahrung ca. Fr. 5'000.-- verdienen können (act. G 4.2.54). Unter diesen Umständen hat die IV-Stelle das Valideneinkommen zu Recht unter Aufrechnung des dem Beschwerdeführer im Jahr 2007 für ein 75%-Pensum ausbezahlten Lohns auf ein 100%-Pensum ermittelt (vgl. act. G 4.1.60). Entsprechend beträgt das Valideneinkommen Fr. 67'305.--. 5.4  Nachdem es dem Beschwerdeführer, wie oben dargelegt, zumutbar ist, im Umfang von 90% eine adaptierte Tätigkeit auszuführen, ist für das Invalideneinkommen auf die LSE-Tabellenlöhne, Anforderungsniveau 4, abzustellen. Dieses betrug für Männer im Jahr 2006 bei einem 100%-Pensum Fr. 4'732.-- pro Monat. Umgerechnet auf die 2006 übliche Wochenarbeitszeit von 41.7 Stunden und aufgerechnet auf das Jahr 2007 ergibt sich für ein 90%-Pensum somit ein Invalideneinkommen von Fr. 54'130.--. 5.5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(BGE 129 V 481 E. 4.2.3, m.w.H.). Vorliegend erscheint aufgrund des Alters des Beschwerdeführers (Jahrgang 1946) sowie der langen Betriebszugehörigkeit und der damit verbundenen Umstellungsprobleme ein Leidensabzug von 15% als angemessen. Damit reduziert sich das Invalideneinkommen auf Fr. 46'011.--. Bei einem Valideneinkommen von 67'305.-- resultiert somit ein Invaliditätsgrad von (gerundet) 32%. Damit hat der Beschwerdeführer keinen Anspruch auf eine Invalidenrente. Selbst unter Berücksichtigung eines 20%igen Leidensabzugs würde kein rentenbegründender Invaliditätsgrad resultieren; der maximal zulässige Abzug von 25% kommt vorliegend nicht in Betracht.</w:t>
      </w:r>
    </w:p>
    <w:p>
      <w:r>
        <w:rPr>
          <w:b/>
        </w:rPr>
        <w:t>E. 6</w:t>
      </w:r>
    </w:p>
    <w:p>
      <w:r>
        <w:t>6.1  Im Sinne der obigen Erwägungen ist die Beschwerde abzuweisen. 6.2  Da es um die Bewilligung oder Verweigerung von Versicherungsleistungen geht, ist das Verfahren kostenpflichtig. Die Gerichtskosten sind nach dem Verfahrensaufwand und unabhängig vom Streitwert festzulegen (Art. 69 Abs. 1 bis IVG in der seit dem 1. Juli 2006 in Kraft stehenden Fassung) und ermessensweise auf Fr. 600.-- anzusetzen. Entsprechend dem Ausgang des Verfahrens sind sie dem Beschwerdeführer aufzuerlegen. Der geleistete Kostenvorschuss von Fr. 600.-- ist daran anzurechnen. Demgemäss hat das Versicherungsgericht entschieden: 1. Die Beschwerde wird abgewiesen. 2. Der Beschwerdeführer bezahlt die Gerichtskosten von Fr. 600.--, unter Anrechnung des in gleicher Höhe geleisteten Vorschusses.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